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 w:eastAsia="Source Han Sans CN Regular" w:cs="Lohit Devanagari"/>
          <w:b/>
          <w:bCs/>
          <w:color w:val="auto"/>
          <w:kern w:val="2"/>
          <w:sz w:val="24"/>
          <w:szCs w:val="24"/>
          <w:lang w:val="ru-RU" w:eastAsia="ru-RU" w:bidi="ru-RU"/>
        </w:rPr>
      </w:pPr>
      <w:r>
        <w:rPr>
          <w:rFonts w:eastAsia="Source Han Sans CN Regular" w:cs="Lohit Devanagari" w:ascii="Trebuchet MS" w:hAnsi="Trebuchet MS"/>
          <w:b/>
          <w:bCs/>
          <w:color w:val="auto"/>
          <w:kern w:val="2"/>
          <w:sz w:val="24"/>
          <w:szCs w:val="24"/>
          <w:lang w:val="ru-RU" w:eastAsia="ru-RU" w:bidi="ru-RU"/>
        </w:rPr>
        <w:t>03.04.2025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 w:eastAsia="Source Han Sans CN Regular" w:cs="Lohit Devanagari"/>
          <w:b/>
          <w:bCs/>
          <w:color w:val="auto"/>
          <w:kern w:val="2"/>
          <w:sz w:val="24"/>
          <w:szCs w:val="24"/>
          <w:lang w:val="ru-RU" w:eastAsia="ru-RU" w:bidi="ru-RU"/>
        </w:rPr>
      </w:pPr>
      <w:r>
        <w:rPr>
          <w:rFonts w:eastAsia="Source Han Sans CN Regular" w:cs="Lohit Devanagari" w:ascii="Trebuchet MS" w:hAnsi="Trebuchet MS"/>
          <w:b/>
          <w:bCs/>
          <w:color w:val="auto"/>
          <w:kern w:val="2"/>
          <w:sz w:val="24"/>
          <w:szCs w:val="24"/>
          <w:lang w:val="ru-RU" w:eastAsia="ru-RU" w:bidi="ru-RU"/>
        </w:rPr>
        <w:t>Студенты Московского энергетического института ознакомились с разработками Всероссийского научно-исследовательского института по эксплуатации атомных станций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/>
      </w:pPr>
      <w:r>
        <w:rPr>
          <w:rFonts w:eastAsia="Source Han Sans CN Regular" w:cs="Lohit Devanagari" w:ascii="Trebuchet MS" w:hAnsi="Trebuchet MS"/>
          <w:color w:val="auto"/>
          <w:kern w:val="2"/>
          <w:sz w:val="24"/>
          <w:szCs w:val="24"/>
          <w:lang w:val="ru-RU" w:eastAsia="ru-RU" w:bidi="ru-RU"/>
        </w:rPr>
        <w:t>2 апреля 2025 года 16 студентов 3-го курса кафедры «Атомные электрические станции» Национального исследовательского университета «МЭИ» (НИУ «МЭИ», входит в Консорциум опорных вузов «Росатома»), которые обучаются по направлению «Ядерная энергетика и теплофизика» побывали с ознакомительным техническим туром в АО «ВНИИАЭС» (входит в контур управления Концерна «Росэнергоатом», Электроэнергетический дивизион «Росатома»). Ранее они также посетили три российских атомных станции и топливную компанию АО «ТВЭЛ».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/>
      </w:pPr>
      <w:r>
        <w:rPr>
          <w:rFonts w:eastAsia="Source Han Sans CN Regular" w:cs="Lohit Devanagari" w:ascii="Trebuchet MS" w:hAnsi="Trebuchet MS"/>
          <w:color w:val="auto"/>
          <w:kern w:val="2"/>
          <w:sz w:val="24"/>
          <w:szCs w:val="24"/>
          <w:lang w:val="ru-RU" w:eastAsia="ru-RU" w:bidi="ru-RU"/>
        </w:rPr>
        <w:t>Гостям прочитали обзорную лекцию по развитию атомной энергетики в нашей стране и за рубежом, которая сопровождалась демонстрацией экспонатов в небольшом музее отечественной атомной энергетики, недавно открытом во ВНИИАЭС</w:t>
      </w:r>
      <w:r>
        <w:rPr>
          <w:rFonts w:ascii="Trebuchet MS" w:hAnsi="Trebuchet MS"/>
          <w:sz w:val="24"/>
          <w:szCs w:val="24"/>
        </w:rPr>
        <w:t xml:space="preserve"> благодаря поддержке Концерна «Росэнергоатом». 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/>
      </w:pPr>
      <w:r>
        <w:rPr>
          <w:rFonts w:ascii="Trebuchet MS" w:hAnsi="Trebuchet MS"/>
          <w:sz w:val="24"/>
          <w:szCs w:val="24"/>
        </w:rPr>
        <w:t xml:space="preserve">Также студенты узнали об истории первой в мире атомной электростанции - Обнинской, первой промышленной атомной электростанции - Сибирской, о планах строительства новых АЭС на Дальнем Востоке, в Сибири и на Урале и о таких новейших и перспективных проектах, как атомные станции малой мощности (АСММ) и «быстрые» реакторы. 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В Кризисном центре Концерна «Росэнергоатом» студентам рассказали о принципах реагирования на нештатные ситуации и работе группы ОПАС (группа оказания экстренной помощи атомным станциям). Ребята остались под впечатлением от фильма о комплексных противоаварийных учениях на Калининской атомной станции и посещения диспетчерского центра, куда стекается вся информация о работе АЭС. 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Затем показали разработку ВНИИАЭС - виртуально-цифровую АЭС с ВВЭР. Рассказали о работах по математическому моделированию, созданию цифровых двойников и тренажеров для подготовки персонала АЭС. 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 w:eastAsia="Source Han Sans CN Regular" w:cs="Lohit Devanagari"/>
          <w:color w:val="auto"/>
          <w:kern w:val="2"/>
          <w:sz w:val="24"/>
          <w:szCs w:val="24"/>
          <w:lang w:val="ru-RU" w:eastAsia="ru-RU" w:bidi="ru-RU"/>
        </w:rPr>
      </w:pPr>
      <w:r>
        <w:rPr>
          <w:rFonts w:eastAsia="Source Han Sans CN Regular" w:cs="Lohit Devanagari" w:ascii="Trebuchet MS" w:hAnsi="Trebuchet MS"/>
          <w:color w:val="auto"/>
          <w:kern w:val="2"/>
          <w:sz w:val="24"/>
          <w:szCs w:val="24"/>
          <w:lang w:val="ru-RU" w:eastAsia="ru-RU" w:bidi="ru-RU"/>
        </w:rPr>
        <w:t xml:space="preserve">«Мне очень понравилась атмосфера во ВНИИАЭС. Ваше здание выглядит величественно и наводит на мысли о том, что здесь производят что-то масштабное, что-то для всей страны», - поделилась студентка </w:t>
      </w:r>
      <w:r>
        <w:rPr>
          <w:rFonts w:eastAsia="Source Han Sans CN Regular" w:cs="Lohit Devanagari" w:ascii="Trebuchet MS" w:hAnsi="Trebuchet MS"/>
          <w:b/>
          <w:bCs/>
          <w:color w:val="auto"/>
          <w:kern w:val="2"/>
          <w:sz w:val="24"/>
          <w:szCs w:val="24"/>
          <w:lang w:val="ru-RU" w:eastAsia="ru-RU" w:bidi="ru-RU"/>
        </w:rPr>
        <w:t>Мария Симутенкова</w:t>
      </w:r>
      <w:r>
        <w:rPr>
          <w:rFonts w:eastAsia="Source Han Sans CN Regular" w:cs="Lohit Devanagari" w:ascii="Trebuchet MS" w:hAnsi="Trebuchet MS"/>
          <w:color w:val="auto"/>
          <w:kern w:val="2"/>
          <w:sz w:val="24"/>
          <w:szCs w:val="24"/>
          <w:lang w:val="ru-RU" w:eastAsia="ru-RU" w:bidi="ru-RU"/>
        </w:rPr>
        <w:t>.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«Было интересно и познавательно. Стремлюсь в будущем сюда попасть, так как мои интересы пересекаются с теми областями, которыми занимаются в вашем институте - например, сбор и обработка данных и выдача рекомендации для персонала атомных станций - иными словами, безопасность работы», - отметил </w:t>
      </w:r>
      <w:r>
        <w:rPr>
          <w:rFonts w:ascii="Trebuchet MS" w:hAnsi="Trebuchet MS"/>
          <w:b/>
          <w:bCs/>
          <w:sz w:val="24"/>
          <w:szCs w:val="24"/>
        </w:rPr>
        <w:t>Илья Ботин</w:t>
      </w:r>
      <w:r>
        <w:rPr>
          <w:rFonts w:ascii="Trebuchet MS" w:hAnsi="Trebuchet MS"/>
          <w:sz w:val="24"/>
          <w:szCs w:val="24"/>
        </w:rPr>
        <w:t xml:space="preserve">. </w:t>
      </w:r>
    </w:p>
    <w:p>
      <w:pPr>
        <w:pStyle w:val="Style37"/>
        <w:bidi w:val="0"/>
        <w:spacing w:lineRule="auto" w:line="240" w:before="0" w:after="113"/>
        <w:ind w:left="0" w:right="0" w:hanging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Для привлечения потенциальных сотрудников ВНИИАЭС активно участвует в различных профориентационных мероприятиях с участием старшекурсников. С января 2025 года сотрудники института участвовали уже в трех «ярмарках вакансий», а до конца мая запланированы еще три экскурсии для старшекурсников, решивших реализовать свои знания и умения в атомной энергетике. </w:t>
      </w:r>
    </w:p>
    <w:p>
      <w:pPr>
        <w:pStyle w:val="NormalWeb"/>
        <w:shd w:val="clear" w:color="auto" w:fill="FFFFFF"/>
        <w:spacing w:lineRule="auto" w:line="240" w:before="0" w:after="113"/>
        <w:ind w:left="0" w:right="0" w:hanging="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i/>
          <w:caps w:val="false"/>
          <w:smallCaps w:val="false"/>
          <w:color w:val="000000"/>
          <w:spacing w:val="0"/>
          <w:sz w:val="24"/>
          <w:szCs w:val="24"/>
        </w:rPr>
        <w:t>Справка:</w:t>
      </w:r>
    </w:p>
    <w:p>
      <w:pPr>
        <w:pStyle w:val="NormalWeb"/>
        <w:shd w:val="clear" w:color="auto" w:fill="FFFFFF"/>
        <w:spacing w:lineRule="auto" w:line="240" w:before="0" w:after="113"/>
        <w:ind w:left="0" w:right="0" w:hanging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Диалог с молодёжью - один из ключевых приоритетов государства. Крупнейшие корпорации, такие как «Росатом», уделяют большое внимание работе со школьниками и студентами. Предприятия атомной отрасли прилагают значительные усилия для ранней профориентации и подготовки кадров, создания специализированных образовательных программ и социальных профориентационных проектов.</w:t>
      </w:r>
    </w:p>
    <w:p>
      <w:pPr>
        <w:pStyle w:val="Normal"/>
        <w:spacing w:lineRule="auto" w:line="240" w:before="0" w:after="113"/>
        <w:ind w:left="0" w:right="0" w:hanging="0"/>
        <w:jc w:val="both"/>
        <w:rPr/>
      </w:pPr>
      <w:r>
        <w:rPr>
          <w:rFonts w:ascii="Trebuchet MS" w:hAnsi="Trebuchet MS"/>
          <w:b/>
          <w:bCs/>
          <w:i/>
          <w:caps w:val="false"/>
          <w:smallCaps w:val="false"/>
          <w:color w:val="000000"/>
          <w:spacing w:val="0"/>
          <w:sz w:val="24"/>
          <w:szCs w:val="24"/>
        </w:rPr>
        <w:t>Электроэнергетический дивизион «Росатома»</w:t>
      </w:r>
      <w:r>
        <w:rPr>
          <w:rFonts w:ascii="Trebuchet MS" w:hAnsi="Trebuchet MS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 xml:space="preserve"> является крупнейшим производителем низкоуглеродной электроэнергии в России. Управляющая компания дивизиона – АО «Концерн Росэнергоатом» (</w:t>
      </w:r>
      <w:hyperlink r:id="rId2">
        <w:r>
          <w:rPr>
            <w:rStyle w:val="-"/>
            <w:rFonts w:ascii="Trebuchet MS" w:hAnsi="Trebuchet MS"/>
            <w:b w:val="false"/>
            <w:i/>
            <w:caps w:val="false"/>
            <w:smallCaps w:val="false"/>
            <w:color w:val="3465A4"/>
            <w:spacing w:val="0"/>
            <w:sz w:val="24"/>
            <w:szCs w:val="24"/>
          </w:rPr>
          <w:t>www.rosenergoatom.ru</w:t>
        </w:r>
      </w:hyperlink>
      <w:r>
        <w:rPr>
          <w:rFonts w:ascii="Trebuchet MS" w:hAnsi="Trebuchet MS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) – эксплуатирует 11 действующих атомных станций, включая единственную в мире плавучую атомную теплоэлектростанцию (ПАТЭС). 35 энергоблоков суммарной мощностью 28,5 ГВт вырабатывают уже около 19 % электроэнергии в России. Предприятия дивизиона обеспечивают полный комплекс услуг по вводу, ремонту, сервисному обслуживанию и подготовке персонала для атомных энергоблоков; нарабатывают изотопы для медицины, сельского хозяйства и микроэлектроники; в его контуре активно развиваются новые направления деятельности (развитие сети зарядной инфраструктуры для электромобилей, биогазовые станции, производство промышленных роботов и др.)</w:t>
      </w:r>
    </w:p>
    <w:p>
      <w:pPr>
        <w:pStyle w:val="Normal"/>
        <w:bidi w:val="0"/>
        <w:spacing w:lineRule="auto" w:line="240" w:before="0" w:after="113"/>
        <w:ind w:left="0" w:right="0" w:hanging="0"/>
        <w:jc w:val="both"/>
        <w:rPr>
          <w:rFonts w:ascii="Trebuchet MS" w:hAnsi="Trebuchet MS"/>
          <w:sz w:val="24"/>
          <w:szCs w:val="24"/>
        </w:rPr>
      </w:pPr>
      <w:r>
        <w:rPr>
          <w:rFonts w:eastAsia="" w:cs="Times New Roman" w:ascii="Trebuchet MS" w:hAnsi="Trebuchet MS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eastAsia="en-US"/>
        </w:rPr>
        <w:t>Акционерное общество «Всероссийский научно-исследовательский институт по эксплуатации атомных электростанций» (АО «ВНИИАЭС»)</w:t>
      </w:r>
      <w:r>
        <w:rPr>
          <w:rFonts w:eastAsia=""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eastAsia="en-US"/>
        </w:rPr>
        <w:t xml:space="preserve"> входит в </w:t>
      </w:r>
      <w:r>
        <w:rPr>
          <w:rFonts w:eastAsia="" w:cs="Times New Roman" w:ascii="Trebuchet MS" w:hAnsi="Trebuchet MS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eastAsia="en-US"/>
        </w:rPr>
        <w:t>Эл</w:t>
      </w:r>
      <w:r>
        <w:rPr>
          <w:rFonts w:eastAsia=""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eastAsia="en-US"/>
        </w:rPr>
        <w:t>ектроэнергетический дивизион Госкорпорации «Росатом», является дочерним зависимым обществом АО «Концерн Росэнергоатом» и выполняет функции научного руководителя по всем проблемам эксплуатации атомных станций. Российской Федерации.</w:t>
      </w:r>
    </w:p>
    <w:p>
      <w:pPr>
        <w:pStyle w:val="Normal"/>
        <w:bidi w:val="0"/>
        <w:spacing w:lineRule="auto" w:line="240" w:before="0" w:after="113"/>
        <w:ind w:left="0" w:right="0" w:hanging="0"/>
        <w:jc w:val="right"/>
        <w:rPr>
          <w:rFonts w:ascii="Trebuchet MS" w:hAnsi="Trebuchet MS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rebuchet M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senergoatom.ru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1001</TotalTime>
  <Application>LibreOffice/7.5.6.2$Linux_X86_64 LibreOffice_project/50$Build-2</Application>
  <AppVersion>15.0000</AppVersion>
  <Pages>2</Pages>
  <Words>518</Words>
  <Characters>3769</Characters>
  <CharactersWithSpaces>4280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2025-04-02T16:27:05Z</dcterms:created>
  <dc:creator/>
  <dc:description/>
  <dc:language>ru-RU</dc:language>
  <cp:lastModifiedBy/>
  <cp:lastPrinted>2025-04-03T09:03:46Z</cp:lastPrinted>
  <dcterms:modified xsi:type="dcterms:W3CDTF">2025-04-03T13:36:22Z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